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079128D4" w:rsidR="003E11E7" w:rsidRDefault="00BF62C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50F1B017"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BF62C2">
        <w:rPr>
          <w:rFonts w:ascii="Arial Black" w:hAnsi="Arial Black" w:cs="Arial"/>
          <w:b/>
          <w:bCs/>
          <w:sz w:val="32"/>
          <w:szCs w:val="32"/>
          <w:lang w:val="es-CR"/>
        </w:rPr>
        <w:t xml:space="preserve">FINAL FOUR </w:t>
      </w:r>
      <w:r w:rsidR="00FE667B">
        <w:rPr>
          <w:rFonts w:ascii="Arial Black" w:hAnsi="Arial Black" w:cs="Arial"/>
          <w:b/>
          <w:bCs/>
          <w:sz w:val="32"/>
          <w:szCs w:val="32"/>
          <w:lang w:val="es-CR"/>
        </w:rPr>
        <w:t xml:space="preserve">FEMENINA </w:t>
      </w:r>
      <w:r w:rsidR="00BF62C2">
        <w:rPr>
          <w:rFonts w:ascii="Arial Black" w:hAnsi="Arial Black" w:cs="Arial"/>
          <w:b/>
          <w:bCs/>
          <w:sz w:val="32"/>
          <w:szCs w:val="32"/>
          <w:lang w:val="es-CR"/>
        </w:rPr>
        <w:t>HON</w:t>
      </w:r>
      <w:r w:rsidR="00FE667B">
        <w:rPr>
          <w:rFonts w:ascii="Arial Black" w:hAnsi="Arial Black" w:cs="Arial"/>
          <w:b/>
          <w:bCs/>
          <w:sz w:val="32"/>
          <w:szCs w:val="32"/>
          <w:lang w:val="es-CR"/>
        </w:rPr>
        <w:t xml:space="preserve">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6B2ECDEE" w14:textId="7337F7CA"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103CF3">
        <w:rPr>
          <w:rFonts w:ascii="Arial Black" w:hAnsi="Arial Black" w:cs="Arial"/>
          <w:b/>
          <w:bCs/>
          <w:sz w:val="32"/>
          <w:szCs w:val="32"/>
          <w:lang w:val="es-CR"/>
        </w:rPr>
        <w:t>11- 16</w:t>
      </w:r>
      <w:r w:rsidR="00BF62C2">
        <w:rPr>
          <w:rFonts w:ascii="Arial Black" w:hAnsi="Arial Black" w:cs="Arial"/>
          <w:b/>
          <w:bCs/>
          <w:sz w:val="32"/>
          <w:szCs w:val="32"/>
          <w:lang w:val="es-CR"/>
        </w:rPr>
        <w:t xml:space="preserve"> JUNIO 2024</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BF62C2">
        <w:rPr>
          <w:rFonts w:ascii="Arial Black" w:hAnsi="Arial Black" w:cs="Arial"/>
          <w:b/>
          <w:bCs/>
          <w:sz w:val="32"/>
          <w:szCs w:val="32"/>
          <w:lang w:val="es-CR"/>
        </w:rPr>
        <w:t>HONDURAS</w:t>
      </w:r>
    </w:p>
    <w:p w14:paraId="3FFE5CDB" w14:textId="14CA368A"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215FC383" w:rsidR="009E629B" w:rsidRPr="00024BAF" w:rsidRDefault="003E11E7" w:rsidP="003E11E7">
      <w:pPr>
        <w:pStyle w:val="NormalWeb"/>
        <w:jc w:val="center"/>
        <w:rPr>
          <w:rFonts w:asciiTheme="minorHAnsi" w:hAnsiTheme="minorHAnsi" w:cstheme="minorHAnsi"/>
          <w:b/>
          <w:sz w:val="40"/>
          <w:szCs w:val="40"/>
          <w:u w:val="single"/>
          <w:lang w:val="es-CR"/>
        </w:rPr>
      </w:pPr>
      <w:r w:rsidRPr="00335AA5">
        <w:rPr>
          <w:rFonts w:asciiTheme="minorHAnsi" w:hAnsiTheme="minorHAnsi" w:cstheme="minorHAnsi"/>
          <w:b/>
          <w:sz w:val="28"/>
          <w:szCs w:val="28"/>
          <w:u w:val="single"/>
          <w:lang w:val="es-CR"/>
        </w:rPr>
        <w:t xml:space="preserve">Ver. </w:t>
      </w:r>
      <w:proofErr w:type="gramStart"/>
      <w:r w:rsidR="00103CF3" w:rsidRPr="00335AA5">
        <w:rPr>
          <w:rFonts w:asciiTheme="minorHAnsi" w:hAnsiTheme="minorHAnsi" w:cstheme="minorHAnsi"/>
          <w:b/>
          <w:sz w:val="28"/>
          <w:szCs w:val="28"/>
          <w:u w:val="single"/>
          <w:lang w:val="es-CR"/>
        </w:rPr>
        <w:t>2</w:t>
      </w:r>
      <w:r w:rsidR="00BF62C2" w:rsidRPr="00335AA5">
        <w:rPr>
          <w:rFonts w:asciiTheme="minorHAnsi" w:hAnsiTheme="minorHAnsi" w:cstheme="minorHAnsi"/>
          <w:b/>
          <w:sz w:val="28"/>
          <w:szCs w:val="28"/>
          <w:u w:val="single"/>
          <w:lang w:val="es-CR"/>
        </w:rPr>
        <w:t xml:space="preserve">.0  </w:t>
      </w:r>
      <w:r w:rsidR="00335AA5" w:rsidRPr="00335AA5">
        <w:rPr>
          <w:rFonts w:asciiTheme="minorHAnsi" w:hAnsiTheme="minorHAnsi" w:cstheme="minorHAnsi"/>
          <w:b/>
          <w:sz w:val="28"/>
          <w:szCs w:val="28"/>
          <w:u w:val="single"/>
          <w:lang w:val="es-CR"/>
        </w:rPr>
        <w:t>28</w:t>
      </w:r>
      <w:proofErr w:type="gramEnd"/>
      <w:r w:rsidR="00BF62C2" w:rsidRPr="00335AA5">
        <w:rPr>
          <w:rFonts w:asciiTheme="minorHAnsi" w:hAnsiTheme="minorHAnsi" w:cstheme="minorHAnsi"/>
          <w:b/>
          <w:sz w:val="28"/>
          <w:szCs w:val="28"/>
          <w:u w:val="single"/>
          <w:lang w:val="es-CR"/>
        </w:rPr>
        <w:t>/4/2024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667793D2"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BF62C2">
        <w:rPr>
          <w:rFonts w:ascii="Arial" w:hAnsi="Arial" w:cs="Arial"/>
          <w:bCs/>
          <w:sz w:val="24"/>
          <w:szCs w:val="24"/>
          <w:lang w:val="es-CR"/>
        </w:rPr>
        <w:t xml:space="preserve">NACIONAL </w:t>
      </w:r>
      <w:r w:rsidR="009F3A1A">
        <w:rPr>
          <w:rFonts w:ascii="Arial" w:hAnsi="Arial" w:cs="Arial"/>
          <w:bCs/>
          <w:sz w:val="24"/>
          <w:szCs w:val="24"/>
          <w:lang w:val="es-CR"/>
        </w:rPr>
        <w:t>DE VOLEIBOL</w:t>
      </w:r>
      <w:r w:rsidR="00BF62C2">
        <w:rPr>
          <w:rFonts w:ascii="Arial" w:hAnsi="Arial" w:cs="Arial"/>
          <w:bCs/>
          <w:sz w:val="24"/>
          <w:szCs w:val="24"/>
          <w:lang w:val="es-CR"/>
        </w:rPr>
        <w:t xml:space="preserve"> DE HONDURAS</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6633B">
        <w:rPr>
          <w:rFonts w:ascii="Arial" w:hAnsi="Arial" w:cs="Arial"/>
          <w:bCs/>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BF62C2">
        <w:rPr>
          <w:rFonts w:ascii="Arial" w:hAnsi="Arial" w:cs="Arial"/>
          <w:bCs/>
          <w:sz w:val="24"/>
          <w:szCs w:val="24"/>
          <w:lang w:val="es-CR"/>
        </w:rPr>
        <w:t xml:space="preserve">FINAL FOUR </w:t>
      </w:r>
      <w:r w:rsidR="00FE667B">
        <w:rPr>
          <w:rFonts w:ascii="Arial" w:hAnsi="Arial" w:cs="Arial"/>
          <w:bCs/>
          <w:sz w:val="24"/>
          <w:szCs w:val="24"/>
          <w:lang w:val="es-CR"/>
        </w:rPr>
        <w:t xml:space="preserve">FEMENINA </w:t>
      </w:r>
      <w:r w:rsidR="00BF62C2">
        <w:rPr>
          <w:rFonts w:ascii="Arial" w:hAnsi="Arial" w:cs="Arial"/>
          <w:bCs/>
          <w:sz w:val="24"/>
          <w:szCs w:val="24"/>
          <w:lang w:val="es-CR"/>
        </w:rPr>
        <w:t>HONDURAS 2024</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103CF3">
        <w:rPr>
          <w:rFonts w:ascii="Arial" w:hAnsi="Arial" w:cs="Arial"/>
          <w:bCs/>
          <w:sz w:val="24"/>
          <w:szCs w:val="24"/>
          <w:lang w:val="es-CR"/>
        </w:rPr>
        <w:t>11 al 16</w:t>
      </w:r>
      <w:r w:rsidR="00BF62C2">
        <w:rPr>
          <w:rFonts w:ascii="Arial" w:hAnsi="Arial" w:cs="Arial"/>
          <w:bCs/>
          <w:sz w:val="24"/>
          <w:szCs w:val="24"/>
          <w:lang w:val="es-CR"/>
        </w:rPr>
        <w:t xml:space="preserve"> de junio del 2024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r w:rsidR="00BF62C2" w:rsidRPr="00335AA5">
        <w:rPr>
          <w:rFonts w:ascii="Arial" w:hAnsi="Arial" w:cs="Arial"/>
          <w:bCs/>
          <w:sz w:val="24"/>
          <w:szCs w:val="24"/>
          <w:lang w:val="es-CR"/>
        </w:rPr>
        <w:t>Tegucigalpa, Honduras</w:t>
      </w:r>
      <w:r w:rsidR="00FE667B" w:rsidRPr="00335AA5">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4B79A9F3" w:rsidR="00D7394B" w:rsidRPr="009F3A1A" w:rsidRDefault="009F3A1A" w:rsidP="00D7394B">
      <w:pPr>
        <w:ind w:right="-720"/>
        <w:jc w:val="both"/>
        <w:rPr>
          <w:b/>
          <w:bCs/>
          <w:lang w:val="es-CR"/>
        </w:rPr>
      </w:pPr>
      <w:r w:rsidRPr="009F3A1A">
        <w:rPr>
          <w:b/>
          <w:bCs/>
          <w:lang w:val="es-CR"/>
        </w:rPr>
        <w:t xml:space="preserve">FEDERACION </w:t>
      </w:r>
      <w:r w:rsidR="00BF62C2">
        <w:rPr>
          <w:b/>
          <w:bCs/>
          <w:lang w:val="es-CR"/>
        </w:rPr>
        <w:t xml:space="preserve">NACIONAL </w:t>
      </w:r>
      <w:r w:rsidRPr="009F3A1A">
        <w:rPr>
          <w:b/>
          <w:bCs/>
          <w:lang w:val="es-CR"/>
        </w:rPr>
        <w:t>DE VOLEIBOL</w:t>
      </w:r>
      <w:r w:rsidR="00BF62C2">
        <w:rPr>
          <w:b/>
          <w:bCs/>
          <w:lang w:val="es-CR"/>
        </w:rPr>
        <w:t xml:space="preserve"> DE HONDURAS</w:t>
      </w:r>
      <w:r w:rsidRPr="009F3A1A">
        <w:rPr>
          <w:b/>
          <w:bCs/>
          <w:lang w:val="es-CR"/>
        </w:rPr>
        <w:t xml:space="preserve"> </w:t>
      </w:r>
      <w:r w:rsidR="00D7394B" w:rsidRPr="009F3A1A">
        <w:rPr>
          <w:b/>
          <w:bCs/>
          <w:lang w:val="es-CR"/>
        </w:rPr>
        <w:t xml:space="preserve"> </w:t>
      </w:r>
    </w:p>
    <w:p w14:paraId="01DBFDD6" w14:textId="0867A096" w:rsidR="00D7394B" w:rsidRPr="009F3A1A" w:rsidRDefault="00BF62C2" w:rsidP="00D7394B">
      <w:pPr>
        <w:pStyle w:val="Ttulo1"/>
        <w:rPr>
          <w:rFonts w:ascii="Arial" w:hAnsi="Arial" w:cs="Arial"/>
          <w:b/>
          <w:bCs/>
          <w:color w:val="auto"/>
          <w:sz w:val="24"/>
          <w:szCs w:val="24"/>
          <w:lang w:val="es-CR"/>
        </w:rPr>
      </w:pPr>
      <w:proofErr w:type="spellStart"/>
      <w:r>
        <w:rPr>
          <w:rFonts w:ascii="Arial" w:hAnsi="Arial" w:cs="Arial"/>
          <w:b/>
          <w:bCs/>
          <w:color w:val="auto"/>
          <w:sz w:val="24"/>
          <w:szCs w:val="24"/>
          <w:lang w:val="es-CR"/>
        </w:rPr>
        <w:t>Lic</w:t>
      </w:r>
      <w:proofErr w:type="spellEnd"/>
      <w:r>
        <w:rPr>
          <w:rFonts w:ascii="Arial" w:hAnsi="Arial" w:cs="Arial"/>
          <w:b/>
          <w:bCs/>
          <w:color w:val="auto"/>
          <w:sz w:val="24"/>
          <w:szCs w:val="24"/>
          <w:lang w:val="es-CR"/>
        </w:rPr>
        <w:t xml:space="preserve"> Félix Sabio González, </w:t>
      </w:r>
      <w:r w:rsidR="00D7394B" w:rsidRPr="009F3A1A">
        <w:rPr>
          <w:rFonts w:ascii="Arial" w:hAnsi="Arial" w:cs="Arial"/>
          <w:b/>
          <w:bCs/>
          <w:color w:val="auto"/>
          <w:sz w:val="24"/>
          <w:szCs w:val="24"/>
          <w:lang w:val="es-CR"/>
        </w:rPr>
        <w:t xml:space="preserve">Presidente </w:t>
      </w:r>
    </w:p>
    <w:p w14:paraId="06A8A16D" w14:textId="07C015F8" w:rsidR="00BF62C2" w:rsidRPr="0046633B" w:rsidRDefault="00D7394B" w:rsidP="00FE667B">
      <w:pPr>
        <w:jc w:val="both"/>
        <w:rPr>
          <w:b/>
          <w:bCs/>
          <w:lang w:val="es-CR"/>
        </w:rPr>
      </w:pPr>
      <w:r w:rsidRPr="00771FB1">
        <w:rPr>
          <w:lang w:val="es-CR"/>
        </w:rPr>
        <w:t>Teléfono</w:t>
      </w:r>
      <w:r w:rsidRPr="00771FB1">
        <w:rPr>
          <w:bCs/>
          <w:lang w:val="es-CR"/>
        </w:rPr>
        <w:tab/>
        <w:t xml:space="preserve">+ </w:t>
      </w:r>
      <w:r w:rsidRPr="0046633B">
        <w:rPr>
          <w:b/>
          <w:bCs/>
          <w:lang w:val="es-CR"/>
        </w:rPr>
        <w:t>(50</w:t>
      </w:r>
      <w:r w:rsidR="00BF62C2">
        <w:rPr>
          <w:b/>
          <w:bCs/>
          <w:lang w:val="es-CR"/>
        </w:rPr>
        <w:t>4</w:t>
      </w:r>
      <w:r w:rsidRPr="0046633B">
        <w:rPr>
          <w:b/>
          <w:bCs/>
          <w:lang w:val="es-CR"/>
        </w:rPr>
        <w:t>)</w:t>
      </w:r>
      <w:r w:rsidR="00BF62C2">
        <w:rPr>
          <w:b/>
          <w:bCs/>
          <w:lang w:val="es-CR"/>
        </w:rPr>
        <w:t xml:space="preserve"> 96192143     +(504) 22391744  </w:t>
      </w:r>
    </w:p>
    <w:p w14:paraId="7A0AF45A" w14:textId="30D58998" w:rsidR="00FE667B" w:rsidRPr="00BF62C2" w:rsidRDefault="009F3A1A" w:rsidP="00FE667B">
      <w:pPr>
        <w:jc w:val="both"/>
        <w:rPr>
          <w:rFonts w:ascii="Calibri" w:hAnsi="Calibri" w:cs="Calibri"/>
          <w:b/>
          <w:sz w:val="28"/>
          <w:szCs w:val="28"/>
          <w:lang w:val="es-CR" w:eastAsia="en-US"/>
        </w:rPr>
      </w:pPr>
      <w:r w:rsidRPr="00FE667B">
        <w:rPr>
          <w:bCs/>
          <w:lang w:val="es-CR"/>
        </w:rPr>
        <w:t>Correo</w:t>
      </w:r>
      <w:r w:rsidRPr="0046633B">
        <w:rPr>
          <w:b/>
          <w:bCs/>
          <w:lang w:val="es-CR"/>
        </w:rPr>
        <w:tab/>
      </w:r>
      <w:hyperlink r:id="rId7" w:history="1">
        <w:r w:rsidR="00BF62C2" w:rsidRPr="00BF62C2">
          <w:rPr>
            <w:rFonts w:ascii="Calibri" w:hAnsi="Calibri" w:cs="Calibri"/>
            <w:b/>
            <w:lang w:val="es-CR" w:eastAsia="en-US"/>
          </w:rPr>
          <w:t>felixsabio@yahoo.com</w:t>
        </w:r>
      </w:hyperlink>
      <w:r w:rsidR="00BF62C2" w:rsidRPr="00BF62C2">
        <w:rPr>
          <w:rFonts w:ascii="Calibri" w:hAnsi="Calibri" w:cs="Calibri"/>
          <w:b/>
          <w:lang w:val="es-CR" w:eastAsia="en-US"/>
        </w:rPr>
        <w:tab/>
      </w:r>
      <w:hyperlink r:id="rId8" w:history="1">
        <w:r w:rsidR="00BF62C2" w:rsidRPr="00BF62C2">
          <w:rPr>
            <w:rFonts w:ascii="Calibri" w:hAnsi="Calibri" w:cs="Calibri"/>
            <w:b/>
            <w:lang w:val="es-CR" w:eastAsia="en-US"/>
          </w:rPr>
          <w:t>fenavoli@yahoo.com</w:t>
        </w:r>
      </w:hyperlink>
    </w:p>
    <w:p w14:paraId="00DBFD03" w14:textId="6873FB5D" w:rsidR="00FE667B" w:rsidRPr="00FE667B" w:rsidRDefault="00FE667B" w:rsidP="00FE667B">
      <w:pPr>
        <w:jc w:val="both"/>
        <w:rPr>
          <w:rFonts w:ascii="Calibri" w:hAnsi="Calibri" w:cs="Calibri"/>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266E63F5"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46633B" w:rsidRPr="0046633B">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6700BE0C"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EF48E6">
        <w:rPr>
          <w:bCs/>
          <w:lang w:val="es-CR"/>
        </w:rPr>
        <w:t>3</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39E8CDC"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103CF3">
        <w:rPr>
          <w:lang w:val="es-CR"/>
        </w:rPr>
        <w:t>3 págs. 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5193DA1F"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B2798C">
        <w:rPr>
          <w:lang w:val="es-CR"/>
        </w:rPr>
        <w:t xml:space="preserve">3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5BB0FE54"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9F1703">
        <w:rPr>
          <w:rFonts w:ascii="Arial" w:hAnsi="Arial" w:cs="Arial"/>
          <w:bCs/>
          <w:sz w:val="24"/>
          <w:szCs w:val="24"/>
          <w:lang w:val="es-CR"/>
        </w:rPr>
        <w:t>I</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 FINAL FOUR FEMENINA HONDURAS 2024</w:t>
      </w:r>
      <w:r w:rsidR="009F1703" w:rsidRPr="007C666D">
        <w:rPr>
          <w:rFonts w:ascii="Arial" w:hAnsi="Arial" w:cs="Arial"/>
          <w:b w:val="0"/>
          <w:bCs/>
          <w:sz w:val="24"/>
          <w:szCs w:val="24"/>
          <w:lang w:val="es-CR"/>
        </w:rPr>
        <w:t>, a celebrarse del</w:t>
      </w:r>
      <w:r w:rsidR="009F1703">
        <w:rPr>
          <w:rFonts w:ascii="Arial" w:hAnsi="Arial" w:cs="Arial"/>
          <w:b w:val="0"/>
          <w:bCs/>
          <w:sz w:val="24"/>
          <w:szCs w:val="24"/>
          <w:lang w:val="es-CR"/>
        </w:rPr>
        <w:t xml:space="preserve"> </w:t>
      </w:r>
      <w:r w:rsidR="00103CF3">
        <w:rPr>
          <w:rFonts w:ascii="Arial" w:hAnsi="Arial" w:cs="Arial"/>
          <w:bCs/>
          <w:sz w:val="24"/>
          <w:szCs w:val="24"/>
          <w:lang w:val="es-CR"/>
        </w:rPr>
        <w:t>11</w:t>
      </w:r>
      <w:r w:rsidR="009F1703">
        <w:rPr>
          <w:rFonts w:ascii="Arial" w:hAnsi="Arial" w:cs="Arial"/>
          <w:bCs/>
          <w:sz w:val="24"/>
          <w:szCs w:val="24"/>
          <w:lang w:val="es-CR"/>
        </w:rPr>
        <w:t xml:space="preserve"> al </w:t>
      </w:r>
      <w:r w:rsidR="00103CF3">
        <w:rPr>
          <w:rFonts w:ascii="Arial" w:hAnsi="Arial" w:cs="Arial"/>
          <w:bCs/>
          <w:sz w:val="24"/>
          <w:szCs w:val="24"/>
          <w:lang w:val="es-CR"/>
        </w:rPr>
        <w:t>16</w:t>
      </w:r>
      <w:r w:rsidR="009F1703">
        <w:rPr>
          <w:rFonts w:ascii="Arial" w:hAnsi="Arial" w:cs="Arial"/>
          <w:bCs/>
          <w:sz w:val="24"/>
          <w:szCs w:val="24"/>
          <w:lang w:val="es-CR"/>
        </w:rPr>
        <w:t xml:space="preserve"> de junio del 2024 en la </w:t>
      </w:r>
      <w:r w:rsidR="009F1703" w:rsidRPr="002E06EE">
        <w:rPr>
          <w:rFonts w:ascii="Arial" w:hAnsi="Arial" w:cs="Arial"/>
          <w:bCs/>
          <w:sz w:val="24"/>
          <w:szCs w:val="24"/>
          <w:lang w:val="es-CR"/>
        </w:rPr>
        <w:t xml:space="preserve">Ciudad de </w:t>
      </w:r>
      <w:r w:rsidR="009F1703" w:rsidRPr="004F5AA8">
        <w:rPr>
          <w:rFonts w:ascii="Arial" w:hAnsi="Arial" w:cs="Arial"/>
          <w:bCs/>
          <w:sz w:val="24"/>
          <w:szCs w:val="24"/>
          <w:lang w:val="es-CR"/>
        </w:rPr>
        <w:t>Tegucigalpa, Honduras.</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09F1D667"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9F1703" w:rsidRPr="004F5AA8">
        <w:rPr>
          <w:b/>
          <w:bCs/>
          <w:lang w:val="es-CR"/>
        </w:rPr>
        <w:t xml:space="preserve">PALMEROLA INT. AIRPORT, COMAYAGUA, </w:t>
      </w:r>
      <w:proofErr w:type="gramStart"/>
      <w:r w:rsidR="009F1703" w:rsidRPr="004F5AA8">
        <w:rPr>
          <w:b/>
          <w:bCs/>
          <w:lang w:val="es-CR"/>
        </w:rPr>
        <w:t>XPL  TEGUCIGALPA</w:t>
      </w:r>
      <w:proofErr w:type="gramEnd"/>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639D4DD2"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I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9F1703">
        <w:rPr>
          <w:lang w:val="es-CR"/>
        </w:rPr>
        <w:t xml:space="preserve">Final </w:t>
      </w:r>
      <w:proofErr w:type="spellStart"/>
      <w:r w:rsidR="009F1703">
        <w:rPr>
          <w:lang w:val="es-CR"/>
        </w:rPr>
        <w:t>Four</w:t>
      </w:r>
      <w:proofErr w:type="spellEnd"/>
      <w:r w:rsidR="009F1703">
        <w:rPr>
          <w:lang w:val="es-CR"/>
        </w:rPr>
        <w:t xml:space="preserve"> </w:t>
      </w:r>
      <w:r w:rsidR="009D7136">
        <w:rPr>
          <w:lang w:val="es-CR"/>
        </w:rPr>
        <w:t>Femenina</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9F1703">
        <w:rPr>
          <w:lang w:val="es-CR"/>
        </w:rPr>
        <w:t xml:space="preserve">HONDURAS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74001604" w:rsidR="003E11E7" w:rsidRDefault="003E11E7" w:rsidP="003E11E7">
      <w:pPr>
        <w:numPr>
          <w:ilvl w:val="1"/>
          <w:numId w:val="0"/>
        </w:numPr>
        <w:tabs>
          <w:tab w:val="left" w:pos="0"/>
          <w:tab w:val="left" w:pos="720"/>
          <w:tab w:val="num" w:pos="1440"/>
          <w:tab w:val="left" w:pos="2880"/>
        </w:tabs>
        <w:jc w:val="both"/>
        <w:rPr>
          <w:b/>
          <w:lang w:val="es-CR"/>
        </w:rPr>
      </w:pPr>
    </w:p>
    <w:p w14:paraId="4259A00C" w14:textId="77777777" w:rsidR="00A141B0" w:rsidRDefault="00A141B0" w:rsidP="003E11E7">
      <w:pPr>
        <w:numPr>
          <w:ilvl w:val="1"/>
          <w:numId w:val="0"/>
        </w:numPr>
        <w:tabs>
          <w:tab w:val="left" w:pos="0"/>
          <w:tab w:val="left" w:pos="720"/>
          <w:tab w:val="num" w:pos="1440"/>
          <w:tab w:val="left" w:pos="2880"/>
        </w:tabs>
        <w:jc w:val="both"/>
        <w:rPr>
          <w:b/>
          <w:lang w:val="es-CR"/>
        </w:rPr>
      </w:pPr>
    </w:p>
    <w:p w14:paraId="40003413" w14:textId="3A36A85D"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w:t>
      </w:r>
      <w:r w:rsidR="009F1703">
        <w:rPr>
          <w:b/>
          <w:lang w:val="es-CR"/>
        </w:rPr>
        <w:t>os CUATRO d</w:t>
      </w:r>
      <w:r w:rsidR="000B7E1C">
        <w:rPr>
          <w:b/>
          <w:lang w:val="es-CR"/>
        </w:rPr>
        <w:t>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lastRenderedPageBreak/>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335AA5" w14:paraId="36436C2E" w14:textId="77777777" w:rsidTr="00235B91">
        <w:tc>
          <w:tcPr>
            <w:tcW w:w="2440" w:type="dxa"/>
          </w:tcPr>
          <w:p w14:paraId="70777624" w14:textId="11FEBBDC" w:rsidR="003E11E7" w:rsidRPr="007C666D" w:rsidRDefault="004F5AA8" w:rsidP="004F5AA8">
            <w:r>
              <w:t>DOMINGO 28</w:t>
            </w:r>
            <w:r w:rsidR="009F1703">
              <w:t xml:space="preserve"> </w:t>
            </w:r>
            <w:proofErr w:type="spellStart"/>
            <w:r w:rsidR="009F1703">
              <w:t>abril</w:t>
            </w:r>
            <w:proofErr w:type="spellEnd"/>
            <w:r w:rsidR="009F1703">
              <w:t xml:space="preserve"> 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335AA5" w14:paraId="175143DF" w14:textId="77777777" w:rsidTr="00235B91">
        <w:tc>
          <w:tcPr>
            <w:tcW w:w="2440" w:type="dxa"/>
          </w:tcPr>
          <w:p w14:paraId="5399EA97" w14:textId="3C26352C" w:rsidR="003E11E7" w:rsidRPr="008677D1" w:rsidRDefault="00E768D7" w:rsidP="00103CF3">
            <w:pPr>
              <w:rPr>
                <w:b/>
              </w:rPr>
            </w:pPr>
            <w:r w:rsidRPr="008677D1">
              <w:rPr>
                <w:b/>
              </w:rPr>
              <w:t>VIERNES</w:t>
            </w:r>
            <w:r w:rsidR="002E7B09">
              <w:rPr>
                <w:b/>
              </w:rPr>
              <w:t xml:space="preserve"> </w:t>
            </w:r>
            <w:r w:rsidR="00103CF3">
              <w:rPr>
                <w:b/>
              </w:rPr>
              <w:t>10</w:t>
            </w:r>
            <w:r w:rsidR="009F1703">
              <w:rPr>
                <w:b/>
              </w:rPr>
              <w:t xml:space="preserve"> mayo 2024</w:t>
            </w:r>
            <w:r w:rsidR="002C77A5" w:rsidRPr="008677D1">
              <w:rPr>
                <w:b/>
              </w:rPr>
              <w:t xml:space="preserve"> </w:t>
            </w:r>
          </w:p>
        </w:tc>
        <w:tc>
          <w:tcPr>
            <w:tcW w:w="6954" w:type="dxa"/>
          </w:tcPr>
          <w:p w14:paraId="52C98071" w14:textId="77777777" w:rsidR="003E11E7" w:rsidRPr="00B90DE0" w:rsidRDefault="003E11E7" w:rsidP="00E63BAF">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lo podrá hacer</w:t>
            </w:r>
            <w:r w:rsidR="00771FB1">
              <w:rPr>
                <w:b/>
                <w:lang w:val="es-CR"/>
              </w:rPr>
              <w:t>lo</w:t>
            </w:r>
            <w:r>
              <w:rPr>
                <w:b/>
                <w:lang w:val="es-CR"/>
              </w:rPr>
              <w:t xml:space="preserve"> a posteriori.</w:t>
            </w:r>
          </w:p>
        </w:tc>
      </w:tr>
      <w:tr w:rsidR="00235B91" w:rsidRPr="00335AA5" w14:paraId="32A8CA78" w14:textId="77777777" w:rsidTr="00235B91">
        <w:tc>
          <w:tcPr>
            <w:tcW w:w="2440" w:type="dxa"/>
          </w:tcPr>
          <w:p w14:paraId="23A58D2B" w14:textId="59A29658" w:rsidR="003E11E7" w:rsidRPr="007C666D" w:rsidRDefault="003E11E7" w:rsidP="00103CF3">
            <w:r w:rsidRPr="00E63BAF">
              <w:rPr>
                <w:lang w:val="es-CR"/>
              </w:rPr>
              <w:t>V</w:t>
            </w:r>
            <w:r w:rsidR="00E63BAF">
              <w:rPr>
                <w:lang w:val="es-CR"/>
              </w:rPr>
              <w:t>IERNES</w:t>
            </w:r>
            <w:r w:rsidR="009D7136">
              <w:rPr>
                <w:lang w:val="es-CR"/>
              </w:rPr>
              <w:t xml:space="preserve"> </w:t>
            </w:r>
            <w:r w:rsidR="00103CF3">
              <w:rPr>
                <w:lang w:val="es-CR"/>
              </w:rPr>
              <w:t>17</w:t>
            </w:r>
            <w:r w:rsidR="009F1703">
              <w:rPr>
                <w:lang w:val="es-CR"/>
              </w:rPr>
              <w:t xml:space="preserve"> mayo 2024</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335AA5" w14:paraId="025BC828" w14:textId="77777777" w:rsidTr="00235B91">
        <w:tc>
          <w:tcPr>
            <w:tcW w:w="2440" w:type="dxa"/>
          </w:tcPr>
          <w:p w14:paraId="29FF4243" w14:textId="3A0223AE" w:rsidR="003E11E7" w:rsidRPr="008677D1" w:rsidRDefault="003E11E7" w:rsidP="00103CF3">
            <w:pPr>
              <w:rPr>
                <w:b/>
              </w:rPr>
            </w:pPr>
            <w:r w:rsidRPr="008677D1">
              <w:rPr>
                <w:b/>
              </w:rPr>
              <w:t>V</w:t>
            </w:r>
            <w:r w:rsidR="00E63BAF" w:rsidRPr="008677D1">
              <w:rPr>
                <w:b/>
              </w:rPr>
              <w:t xml:space="preserve">IERNES </w:t>
            </w:r>
            <w:r w:rsidR="00103CF3">
              <w:rPr>
                <w:b/>
              </w:rPr>
              <w:t>31</w:t>
            </w:r>
            <w:r w:rsidR="009F1703">
              <w:rPr>
                <w:b/>
              </w:rPr>
              <w:t xml:space="preserve"> mayo 2024</w:t>
            </w:r>
          </w:p>
        </w:tc>
        <w:tc>
          <w:tcPr>
            <w:tcW w:w="6954" w:type="dxa"/>
          </w:tcPr>
          <w:p w14:paraId="409DD75C" w14:textId="3A1343A2" w:rsidR="003E11E7" w:rsidRPr="00024BAF" w:rsidRDefault="003E11E7" w:rsidP="009D7136">
            <w:pPr>
              <w:rPr>
                <w:lang w:val="es-CR"/>
              </w:rPr>
            </w:pPr>
            <w:r w:rsidRPr="00024BAF">
              <w:rPr>
                <w:lang w:val="es-CR"/>
              </w:rPr>
              <w:t>Cada Federación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D072D9" w:rsidRPr="00335AA5" w14:paraId="5DA1ADF6" w14:textId="77777777" w:rsidTr="00235B91">
        <w:tc>
          <w:tcPr>
            <w:tcW w:w="2440" w:type="dxa"/>
          </w:tcPr>
          <w:p w14:paraId="170F07CE" w14:textId="24E08A92" w:rsidR="00D072D9" w:rsidRDefault="00D072D9" w:rsidP="00103CF3">
            <w:pPr>
              <w:rPr>
                <w:b/>
              </w:rPr>
            </w:pPr>
            <w:r>
              <w:t xml:space="preserve">LUNES </w:t>
            </w:r>
            <w:r w:rsidR="00103CF3">
              <w:t xml:space="preserve">3 </w:t>
            </w:r>
            <w:proofErr w:type="spellStart"/>
            <w:r w:rsidR="00103CF3">
              <w:t>junio</w:t>
            </w:r>
            <w:proofErr w:type="spellEnd"/>
            <w:r>
              <w:t xml:space="preserve"> 2024</w:t>
            </w:r>
          </w:p>
        </w:tc>
        <w:tc>
          <w:tcPr>
            <w:tcW w:w="6954" w:type="dxa"/>
          </w:tcPr>
          <w:p w14:paraId="36AB1DC4" w14:textId="21C0FB32" w:rsidR="00D072D9" w:rsidRPr="00024BAF" w:rsidRDefault="00D072D9" w:rsidP="00D072D9">
            <w:pPr>
              <w:rPr>
                <w:lang w:val="es-CR"/>
              </w:rPr>
            </w:pPr>
            <w:r w:rsidRPr="00024BAF">
              <w:rPr>
                <w:lang w:val="es-CR"/>
              </w:rPr>
              <w:t>Cada Federación Nacional hace el registro de la 0-2 y 0-2 bis en el Sist</w:t>
            </w:r>
            <w:r>
              <w:rPr>
                <w:lang w:val="es-CR"/>
              </w:rPr>
              <w:t>ema VIS en línea de la FIVB</w:t>
            </w:r>
          </w:p>
        </w:tc>
      </w:tr>
      <w:tr w:rsidR="00D072D9" w:rsidRPr="00335AA5" w14:paraId="372EBCAE" w14:textId="77777777" w:rsidTr="00235B91">
        <w:tc>
          <w:tcPr>
            <w:tcW w:w="2440" w:type="dxa"/>
          </w:tcPr>
          <w:p w14:paraId="161A50F2" w14:textId="1C320FED" w:rsidR="00D072D9" w:rsidRPr="002F66A8" w:rsidRDefault="00D072D9" w:rsidP="00103CF3">
            <w:pPr>
              <w:rPr>
                <w:b/>
              </w:rPr>
            </w:pPr>
            <w:r>
              <w:rPr>
                <w:b/>
              </w:rPr>
              <w:t xml:space="preserve">MARTES </w:t>
            </w:r>
            <w:r w:rsidR="00103CF3">
              <w:rPr>
                <w:b/>
              </w:rPr>
              <w:t>11</w:t>
            </w:r>
            <w:r>
              <w:rPr>
                <w:b/>
              </w:rPr>
              <w:t xml:space="preserve"> JUNIO 2024</w:t>
            </w:r>
          </w:p>
        </w:tc>
        <w:tc>
          <w:tcPr>
            <w:tcW w:w="6954" w:type="dxa"/>
          </w:tcPr>
          <w:p w14:paraId="0AA0000E" w14:textId="7FECDC05" w:rsidR="00D072D9" w:rsidRPr="00024BAF" w:rsidRDefault="00D072D9" w:rsidP="00D072D9">
            <w:pPr>
              <w:rPr>
                <w:lang w:val="es-CR"/>
              </w:rPr>
            </w:pPr>
            <w:r w:rsidRPr="00024BAF">
              <w:rPr>
                <w:lang w:val="es-CR"/>
              </w:rPr>
              <w:t xml:space="preserve">Ingreso de Comité de Control, árbitros internacionales y delegaciones a </w:t>
            </w:r>
            <w:r w:rsidRPr="00AA4D53">
              <w:rPr>
                <w:highlight w:val="yellow"/>
                <w:lang w:val="es-CR"/>
              </w:rPr>
              <w:t>TEGUCIGALP</w:t>
            </w:r>
            <w:r w:rsidR="00AA4D53" w:rsidRPr="00AA4D53">
              <w:rPr>
                <w:highlight w:val="yellow"/>
                <w:lang w:val="es-CR"/>
              </w:rPr>
              <w:t>A</w:t>
            </w:r>
          </w:p>
        </w:tc>
      </w:tr>
      <w:tr w:rsidR="00D072D9" w:rsidRPr="00335AA5" w14:paraId="19654F6E" w14:textId="77777777" w:rsidTr="00235B91">
        <w:tc>
          <w:tcPr>
            <w:tcW w:w="2440" w:type="dxa"/>
          </w:tcPr>
          <w:p w14:paraId="17091D67" w14:textId="554E43A2" w:rsidR="00D072D9" w:rsidRPr="002F66A8" w:rsidRDefault="00103CF3" w:rsidP="00D072D9">
            <w:pPr>
              <w:tabs>
                <w:tab w:val="center" w:pos="1112"/>
              </w:tabs>
              <w:rPr>
                <w:b/>
              </w:rPr>
            </w:pPr>
            <w:r>
              <w:rPr>
                <w:b/>
              </w:rPr>
              <w:t>MIERCOLES 12</w:t>
            </w:r>
            <w:r w:rsidR="00D072D9">
              <w:rPr>
                <w:b/>
              </w:rPr>
              <w:t xml:space="preserve"> JUNIO 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335AA5" w14:paraId="2F3AE191" w14:textId="77777777" w:rsidTr="00235B91">
        <w:tc>
          <w:tcPr>
            <w:tcW w:w="2440" w:type="dxa"/>
          </w:tcPr>
          <w:p w14:paraId="5EA4E608" w14:textId="24621995" w:rsidR="00D072D9" w:rsidRPr="00B1779B" w:rsidRDefault="00D072D9" w:rsidP="00103CF3">
            <w:pPr>
              <w:rPr>
                <w:b/>
                <w:lang w:val="es-CR"/>
              </w:rPr>
            </w:pPr>
            <w:r>
              <w:rPr>
                <w:b/>
                <w:lang w:val="es-CR"/>
              </w:rPr>
              <w:t xml:space="preserve">JUEVES </w:t>
            </w:r>
            <w:r w:rsidR="00103CF3">
              <w:rPr>
                <w:b/>
                <w:lang w:val="es-CR"/>
              </w:rPr>
              <w:t>13</w:t>
            </w:r>
            <w:r>
              <w:rPr>
                <w:b/>
                <w:lang w:val="es-CR"/>
              </w:rPr>
              <w:t xml:space="preserve"> A SABADO </w:t>
            </w:r>
            <w:r w:rsidR="00103CF3">
              <w:rPr>
                <w:b/>
                <w:lang w:val="es-CR"/>
              </w:rPr>
              <w:t>15</w:t>
            </w:r>
            <w:r>
              <w:rPr>
                <w:b/>
                <w:lang w:val="es-CR"/>
              </w:rPr>
              <w:t xml:space="preserve"> JUNIO 2024</w:t>
            </w:r>
          </w:p>
        </w:tc>
        <w:tc>
          <w:tcPr>
            <w:tcW w:w="6954" w:type="dxa"/>
          </w:tcPr>
          <w:p w14:paraId="7719AE26" w14:textId="2DE96CC6" w:rsidR="00D072D9" w:rsidRPr="00024BAF" w:rsidRDefault="00D072D9" w:rsidP="00D072D9">
            <w:pPr>
              <w:rPr>
                <w:lang w:val="es-CR"/>
              </w:rPr>
            </w:pPr>
            <w:r w:rsidRPr="00024BAF">
              <w:rPr>
                <w:lang w:val="es-CR"/>
              </w:rPr>
              <w:t>Competencias según calendario de juegos</w:t>
            </w:r>
            <w:r>
              <w:rPr>
                <w:lang w:val="es-CR"/>
              </w:rPr>
              <w:t>, 3 días competencias</w:t>
            </w:r>
          </w:p>
        </w:tc>
      </w:tr>
      <w:tr w:rsidR="00D072D9" w:rsidRPr="00335AA5" w14:paraId="6BDECC17" w14:textId="77777777" w:rsidTr="00235B91">
        <w:tc>
          <w:tcPr>
            <w:tcW w:w="2440" w:type="dxa"/>
          </w:tcPr>
          <w:p w14:paraId="00EC3199" w14:textId="62E0176B" w:rsidR="00D072D9" w:rsidRPr="00B1779B" w:rsidRDefault="00D072D9" w:rsidP="00103CF3">
            <w:pPr>
              <w:rPr>
                <w:b/>
              </w:rPr>
            </w:pPr>
            <w:r>
              <w:rPr>
                <w:b/>
              </w:rPr>
              <w:t xml:space="preserve">DOMINGO </w:t>
            </w:r>
            <w:r w:rsidR="00103CF3">
              <w:rPr>
                <w:b/>
              </w:rPr>
              <w:t>16</w:t>
            </w:r>
            <w:r>
              <w:rPr>
                <w:b/>
              </w:rPr>
              <w:t xml:space="preserve"> JUNIO 2024</w:t>
            </w:r>
          </w:p>
        </w:tc>
        <w:tc>
          <w:tcPr>
            <w:tcW w:w="6954" w:type="dxa"/>
          </w:tcPr>
          <w:p w14:paraId="00377DB9" w14:textId="77777777" w:rsidR="00D072D9" w:rsidRPr="00024BAF" w:rsidRDefault="00D072D9" w:rsidP="00D072D9">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5CE830B7"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439DE89E" w14:textId="5EF82418" w:rsidR="003E11E7" w:rsidRDefault="003E11E7" w:rsidP="003E11E7">
      <w:pPr>
        <w:jc w:val="both"/>
        <w:rPr>
          <w:lang w:val="es-CR"/>
        </w:rPr>
      </w:pPr>
      <w:r w:rsidRPr="007C666D">
        <w:rPr>
          <w:b/>
          <w:lang w:val="es-CR"/>
        </w:rPr>
        <w:t>Equipos participantes:</w:t>
      </w:r>
      <w:r w:rsidRPr="007C666D">
        <w:rPr>
          <w:lang w:val="es-CR"/>
        </w:rPr>
        <w:t xml:space="preserve">  Un máximo de </w:t>
      </w:r>
      <w:r w:rsidR="00D072D9">
        <w:rPr>
          <w:lang w:val="es-CR"/>
        </w:rPr>
        <w:t xml:space="preserve">CUATRO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I Campeonato </w:t>
      </w:r>
      <w:r w:rsidR="00235B91">
        <w:rPr>
          <w:lang w:val="es-CR"/>
        </w:rPr>
        <w:t>Centroamerican</w:t>
      </w:r>
      <w:r w:rsidR="007E6119">
        <w:rPr>
          <w:lang w:val="es-CR"/>
        </w:rPr>
        <w:t>o</w:t>
      </w:r>
      <w:r w:rsidR="0054176C">
        <w:rPr>
          <w:lang w:val="es-CR"/>
        </w:rPr>
        <w:t xml:space="preserve"> de Voleibol</w:t>
      </w:r>
      <w:r w:rsidR="00D072D9">
        <w:rPr>
          <w:lang w:val="es-CR"/>
        </w:rPr>
        <w:t xml:space="preserve"> FINAL FOUR </w:t>
      </w:r>
      <w:r w:rsidR="00ED23FF">
        <w:rPr>
          <w:lang w:val="es-CR"/>
        </w:rPr>
        <w:t>Femenina</w:t>
      </w:r>
      <w:r w:rsidR="00D072D9">
        <w:rPr>
          <w:lang w:val="es-CR"/>
        </w:rPr>
        <w:t xml:space="preserve"> HON 2024</w:t>
      </w:r>
      <w:r w:rsidR="00ED23FF">
        <w:rPr>
          <w:lang w:val="es-CR"/>
        </w:rPr>
        <w:t xml:space="preserve"> </w:t>
      </w:r>
      <w:r w:rsidRPr="007C666D">
        <w:rPr>
          <w:lang w:val="es-CR"/>
        </w:rPr>
        <w:t>que se señalan a continuación</w:t>
      </w:r>
      <w:r w:rsidR="00D072D9">
        <w:rPr>
          <w:lang w:val="es-CR"/>
        </w:rPr>
        <w:t xml:space="preserve"> de conformidad con la clasificación final del XXII Campeonato Centroamericano de Voleibol Mayor Femenina NCA 2023</w:t>
      </w:r>
      <w:r w:rsidRPr="007C666D">
        <w:rPr>
          <w:lang w:val="es-CR"/>
        </w:rPr>
        <w:t xml:space="preserve">: </w:t>
      </w:r>
      <w:r w:rsidR="008623E6" w:rsidRPr="001A24B9">
        <w:rPr>
          <w:b/>
          <w:lang w:val="es-CR"/>
        </w:rPr>
        <w:t xml:space="preserve">Costa Rica, Honduras, Nicaragua y El Salvador. </w:t>
      </w:r>
    </w:p>
    <w:p w14:paraId="708D82F5" w14:textId="2606E29F" w:rsidR="008623E6" w:rsidRDefault="008623E6" w:rsidP="003E11E7">
      <w:pPr>
        <w:jc w:val="both"/>
        <w:rPr>
          <w:lang w:val="es-CR"/>
        </w:rPr>
      </w:pPr>
    </w:p>
    <w:p w14:paraId="7130B6D0" w14:textId="6C154702" w:rsidR="008623E6" w:rsidRPr="007C666D" w:rsidRDefault="008623E6" w:rsidP="003E11E7">
      <w:pPr>
        <w:jc w:val="both"/>
        <w:rPr>
          <w:lang w:val="es-GT"/>
        </w:rPr>
      </w:pPr>
      <w:r w:rsidRPr="001A24B9">
        <w:rPr>
          <w:lang w:val="es-CR"/>
        </w:rPr>
        <w:t>En caso que alguno de los cuatro equipos señalados declinará su participación tendrá la opción el quinto lugar:  BELIZE</w:t>
      </w:r>
      <w:r w:rsidR="001A24B9">
        <w:rPr>
          <w:lang w:val="es-CR"/>
        </w:rPr>
        <w:t>,</w:t>
      </w:r>
      <w:r w:rsidRPr="001A24B9">
        <w:rPr>
          <w:lang w:val="es-CR"/>
        </w:rPr>
        <w:t xml:space="preserve"> en cuyo defecto el evento se llevará a cabo con al menos tres equipos.</w:t>
      </w:r>
    </w:p>
    <w:p w14:paraId="1BF1C3B3" w14:textId="77777777" w:rsidR="003E11E7" w:rsidRPr="007C666D" w:rsidRDefault="003E11E7" w:rsidP="003E11E7">
      <w:pPr>
        <w:tabs>
          <w:tab w:val="left" w:pos="2880"/>
        </w:tabs>
        <w:jc w:val="both"/>
        <w:rPr>
          <w:lang w:val="es-GT"/>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6E154403" w14:textId="61A98B8A"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autorizado por AFECAVOL</w:t>
      </w:r>
      <w:r w:rsidR="0010504F">
        <w:rPr>
          <w:lang w:val="es-CR"/>
        </w:rPr>
        <w:t xml:space="preserve">.  </w:t>
      </w:r>
      <w:r w:rsidR="0010504F" w:rsidRPr="0010504F">
        <w:rPr>
          <w:b/>
          <w:lang w:val="es-CR"/>
        </w:rPr>
        <w:t>Para la presente competencia NO se permite la propuesta de la Federación Nacional de un ARBITRO CATEGORIA NACIONAL.</w:t>
      </w:r>
    </w:p>
    <w:p w14:paraId="40DF0F04" w14:textId="77777777" w:rsidR="00212EAA" w:rsidRDefault="00212EAA" w:rsidP="003E11E7">
      <w:pPr>
        <w:jc w:val="both"/>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w:t>
      </w:r>
      <w:r w:rsidRPr="007C666D">
        <w:rPr>
          <w:lang w:val="es-CR"/>
        </w:rPr>
        <w:lastRenderedPageBreak/>
        <w:t xml:space="preserve">debe cancelar sus gastos de alojamiento, alimentación y transportación para recibir los servicios del Comité Organizador.  </w:t>
      </w: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77777777" w:rsidR="003E11E7" w:rsidRPr="007C666D" w:rsidRDefault="003E11E7"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w:t>
      </w:r>
      <w:proofErr w:type="spellStart"/>
      <w:r w:rsidR="002A5CD6" w:rsidRPr="00FD716C">
        <w:rPr>
          <w:b/>
          <w:lang w:val="es-CR"/>
        </w:rPr>
        <w:t>xls</w:t>
      </w:r>
      <w:proofErr w:type="spellEnd"/>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proofErr w:type="gramStart"/>
      <w:r w:rsidR="007E6119" w:rsidRPr="00A141B0">
        <w:rPr>
          <w:b/>
          <w:lang w:val="es-CR"/>
        </w:rPr>
        <w:t>tanto</w:t>
      </w:r>
      <w:proofErr w:type="gramEnd"/>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2586DCFC"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1A24B9">
        <w:rPr>
          <w:b/>
          <w:highlight w:val="yellow"/>
          <w:u w:val="single"/>
          <w:lang w:val="es-CR"/>
        </w:rPr>
        <w:t>2.000.00.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lastRenderedPageBreak/>
        <w:t xml:space="preserve">Presentación de los originales del formulario 0-2 y 0-2 bis </w:t>
      </w:r>
      <w:proofErr w:type="spellStart"/>
      <w:r w:rsidR="00B16216">
        <w:rPr>
          <w:lang w:val="es-CR"/>
        </w:rPr>
        <w:t>xls</w:t>
      </w:r>
      <w:proofErr w:type="spellEnd"/>
      <w:r w:rsidR="00B16216">
        <w:rPr>
          <w:lang w:val="es-CR"/>
        </w:rPr>
        <w:t xml:space="preserve">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w:t>
      </w:r>
      <w:proofErr w:type="spellStart"/>
      <w:r w:rsidR="00B16216">
        <w:rPr>
          <w:lang w:val="es-CR"/>
        </w:rPr>
        <w:t>xls</w:t>
      </w:r>
      <w:proofErr w:type="spellEnd"/>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4B507AFF"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1F6B347F" w14:textId="77777777" w:rsidR="003E11E7" w:rsidRDefault="003E11E7" w:rsidP="003E11E7">
      <w:pPr>
        <w:pStyle w:val="Prrafodelista"/>
        <w:jc w:val="both"/>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lastRenderedPageBreak/>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4786F925" w:rsidR="003E11E7" w:rsidRPr="00303009" w:rsidRDefault="00A141B0" w:rsidP="003E11E7">
      <w:pPr>
        <w:jc w:val="both"/>
        <w:rPr>
          <w:lang w:val="es-CR"/>
        </w:rPr>
      </w:pPr>
      <w:r>
        <w:rPr>
          <w:lang w:val="es-CR"/>
        </w:rPr>
        <w:t xml:space="preserve">El I Campeonato </w:t>
      </w:r>
      <w:r w:rsidR="005B7341">
        <w:rPr>
          <w:lang w:val="es-CR"/>
        </w:rPr>
        <w:t>Centroamerican</w:t>
      </w:r>
      <w:r>
        <w:rPr>
          <w:lang w:val="es-CR"/>
        </w:rPr>
        <w:t>o</w:t>
      </w:r>
      <w:r w:rsidR="0054176C">
        <w:rPr>
          <w:lang w:val="es-CR"/>
        </w:rPr>
        <w:t xml:space="preserve"> de Voleibol</w:t>
      </w:r>
      <w:r>
        <w:rPr>
          <w:lang w:val="es-CR"/>
        </w:rPr>
        <w:t xml:space="preserve"> </w:t>
      </w:r>
      <w:r w:rsidR="00C7741B">
        <w:rPr>
          <w:lang w:val="es-CR"/>
        </w:rPr>
        <w:t xml:space="preserve">FINAL FOUR </w:t>
      </w:r>
      <w:r w:rsidR="006709C4">
        <w:rPr>
          <w:lang w:val="es-CR"/>
        </w:rPr>
        <w:t xml:space="preserve">Femenina </w:t>
      </w:r>
      <w:r w:rsidR="00C7741B">
        <w:rPr>
          <w:lang w:val="es-CR"/>
        </w:rPr>
        <w:t xml:space="preserve">HON </w:t>
      </w:r>
      <w:r>
        <w:rPr>
          <w:lang w:val="es-CR"/>
        </w:rPr>
        <w:t>2</w:t>
      </w:r>
      <w:r w:rsidR="005B7341">
        <w:rPr>
          <w:lang w:val="es-CR"/>
        </w:rPr>
        <w:t>02</w:t>
      </w:r>
      <w:r w:rsidR="00C7741B">
        <w:rPr>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1A7AB3FA" w:rsidR="003E11E7" w:rsidRPr="000B7E1C" w:rsidRDefault="003E11E7" w:rsidP="006E3326">
      <w:pPr>
        <w:pStyle w:val="Prrafodelista"/>
        <w:ind w:left="567"/>
        <w:jc w:val="both"/>
        <w:rPr>
          <w:lang w:val="es-CR"/>
        </w:rPr>
      </w:pPr>
      <w:r w:rsidRPr="000B7E1C">
        <w:rPr>
          <w:lang w:val="es-CR"/>
        </w:rPr>
        <w:t xml:space="preserve">– </w:t>
      </w:r>
      <w:r w:rsidR="00C7741B">
        <w:rPr>
          <w:lang w:val="es-CR"/>
        </w:rPr>
        <w:t xml:space="preserve">CUATRO EQUIOPOS:  </w:t>
      </w:r>
      <w:r w:rsidR="006E3326">
        <w:rPr>
          <w:lang w:val="es-CR"/>
        </w:rPr>
        <w:t xml:space="preserve">UN SOLO </w:t>
      </w:r>
      <w:r w:rsidRPr="000B7E1C">
        <w:rPr>
          <w:lang w:val="es-CR"/>
        </w:rPr>
        <w:t>Grupo Todos contra Todos FINAL</w:t>
      </w:r>
    </w:p>
    <w:p w14:paraId="2E7F7F42" w14:textId="77777777" w:rsidR="003E11E7" w:rsidRPr="00303009" w:rsidRDefault="003E11E7" w:rsidP="003E11E7">
      <w:pPr>
        <w:jc w:val="both"/>
        <w:rPr>
          <w:lang w:val="es-CR"/>
        </w:rPr>
      </w:pPr>
    </w:p>
    <w:p w14:paraId="2F8EE096" w14:textId="4A708E8C"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 xml:space="preserve">para formalizar el calendario </w:t>
      </w:r>
      <w:r w:rsidRPr="000B7E1C">
        <w:rPr>
          <w:lang w:val="es-CR"/>
        </w:rPr>
        <w:lastRenderedPageBreak/>
        <w:t>final</w:t>
      </w:r>
      <w:r w:rsidR="005B7341" w:rsidRPr="000B7E1C">
        <w:rPr>
          <w:lang w:val="es-CR"/>
        </w:rPr>
        <w:t xml:space="preserve"> de cada equipo participante de conformidad con la Tabla Berger</w:t>
      </w:r>
      <w:r w:rsidR="00C7741B">
        <w:rPr>
          <w:lang w:val="es-CR"/>
        </w:rPr>
        <w:t xml:space="preserve"> (modificada por </w:t>
      </w:r>
      <w:proofErr w:type="gramStart"/>
      <w:r w:rsidR="00C7741B">
        <w:rPr>
          <w:lang w:val="es-CR"/>
        </w:rPr>
        <w:t xml:space="preserve">FIVB  </w:t>
      </w:r>
      <w:proofErr w:type="spellStart"/>
      <w:r w:rsidR="00C7741B">
        <w:rPr>
          <w:lang w:val="es-CR"/>
        </w:rPr>
        <w:t>Event</w:t>
      </w:r>
      <w:proofErr w:type="spellEnd"/>
      <w:proofErr w:type="gramEnd"/>
      <w:r w:rsidR="00C7741B">
        <w:rPr>
          <w:lang w:val="es-CR"/>
        </w:rPr>
        <w:t xml:space="preserve"> </w:t>
      </w:r>
      <w:proofErr w:type="spellStart"/>
      <w:r w:rsidR="00C7741B">
        <w:rPr>
          <w:lang w:val="es-CR"/>
        </w:rPr>
        <w:t>Regulations</w:t>
      </w:r>
      <w:proofErr w:type="spellEnd"/>
      <w:r w:rsidR="00C7741B">
        <w:rPr>
          <w:lang w:val="es-CR"/>
        </w:rPr>
        <w:t xml:space="preserve"> versión 2023)</w:t>
      </w:r>
      <w:r w:rsidR="005B7341" w:rsidRPr="000B7E1C">
        <w:rPr>
          <w:lang w:val="es-CR"/>
        </w:rPr>
        <w:t>.</w:t>
      </w:r>
    </w:p>
    <w:p w14:paraId="5B1961EE" w14:textId="77777777" w:rsidR="0010504F" w:rsidRDefault="0010504F" w:rsidP="0010504F">
      <w:pPr>
        <w:pStyle w:val="Prrafodelista"/>
        <w:ind w:left="567"/>
        <w:jc w:val="both"/>
        <w:rPr>
          <w:lang w:val="es-CR"/>
        </w:rPr>
      </w:pPr>
    </w:p>
    <w:p w14:paraId="34C47A0C" w14:textId="77777777" w:rsidR="00C7741B" w:rsidRDefault="00C7741B" w:rsidP="00C7741B">
      <w:pPr>
        <w:pStyle w:val="Prrafodelista"/>
        <w:numPr>
          <w:ilvl w:val="1"/>
          <w:numId w:val="5"/>
        </w:numPr>
        <w:ind w:left="567" w:hanging="567"/>
        <w:jc w:val="both"/>
        <w:rPr>
          <w:lang w:val="es-CR"/>
        </w:rPr>
      </w:pPr>
      <w:r>
        <w:rPr>
          <w:lang w:val="es-CR"/>
        </w:rPr>
        <w:t>FIVB Tabla Berger para cuatro equipos:</w:t>
      </w:r>
      <w:r>
        <w:rPr>
          <w:lang w:val="es-CR"/>
        </w:rPr>
        <w:tab/>
      </w:r>
    </w:p>
    <w:p w14:paraId="396EBB96" w14:textId="1124148D" w:rsidR="00C7741B" w:rsidRDefault="00C7741B" w:rsidP="00C7741B">
      <w:pPr>
        <w:pStyle w:val="Prrafodelista"/>
        <w:ind w:left="567"/>
        <w:jc w:val="both"/>
        <w:rPr>
          <w:lang w:val="es-CR"/>
        </w:rPr>
      </w:pPr>
      <w:r>
        <w:rPr>
          <w:lang w:val="es-CR"/>
        </w:rPr>
        <w:t>I fecha</w:t>
      </w:r>
      <w:r>
        <w:rPr>
          <w:lang w:val="es-CR"/>
        </w:rPr>
        <w:tab/>
        <w:t>1/4   2/3</w:t>
      </w:r>
      <w:r>
        <w:rPr>
          <w:lang w:val="es-CR"/>
        </w:rPr>
        <w:tab/>
        <w:t>II fecha   1/3    2/4       III fecha    1/2   3/4</w:t>
      </w:r>
    </w:p>
    <w:p w14:paraId="6D795334" w14:textId="77777777" w:rsidR="00C7741B" w:rsidRPr="00C7741B" w:rsidRDefault="00C7741B" w:rsidP="00C7741B">
      <w:pPr>
        <w:pStyle w:val="Prrafodelista"/>
        <w:ind w:left="567"/>
        <w:jc w:val="both"/>
        <w:rPr>
          <w:lang w:val="es-CR"/>
        </w:rPr>
      </w:pPr>
    </w:p>
    <w:p w14:paraId="5580A93E" w14:textId="13F15914" w:rsidR="00C7741B" w:rsidRDefault="003E11E7" w:rsidP="00C7741B">
      <w:pPr>
        <w:jc w:val="both"/>
        <w:rPr>
          <w:lang w:val="es-CR"/>
        </w:rPr>
      </w:pPr>
      <w:r w:rsidRPr="000B7E1C">
        <w:rPr>
          <w:lang w:val="es-CR"/>
        </w:rPr>
        <w:t>La siembra será en el siguiente orden de conformidad con el ran</w:t>
      </w:r>
      <w:r w:rsidR="0055438C">
        <w:rPr>
          <w:lang w:val="es-CR"/>
        </w:rPr>
        <w:t>king final de</w:t>
      </w:r>
      <w:r w:rsidR="00C7741B">
        <w:rPr>
          <w:lang w:val="es-CR"/>
        </w:rPr>
        <w:t xml:space="preserve">l XXII CCA VB MAYO FEMENINO NCA 2023:  Costa Rica, Honduras, Nicaragua y El Salvador. </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lastRenderedPageBreak/>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 xml:space="preserve">Los ingresos provenientes de las cuotas de inscripción serán </w:t>
      </w:r>
      <w:proofErr w:type="gramStart"/>
      <w:r>
        <w:rPr>
          <w:lang w:val="es-CR"/>
        </w:rPr>
        <w:t>utilizadas</w:t>
      </w:r>
      <w:proofErr w:type="gramEnd"/>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1F7ABF6F" w:rsidR="003E11E7" w:rsidRPr="008B0AA9" w:rsidRDefault="003E11E7" w:rsidP="008B0AA9">
      <w:pPr>
        <w:pStyle w:val="Prrafodelista"/>
        <w:numPr>
          <w:ilvl w:val="0"/>
          <w:numId w:val="17"/>
        </w:numPr>
        <w:ind w:left="567" w:hanging="567"/>
        <w:jc w:val="both"/>
        <w:rPr>
          <w:lang w:val="es-CR"/>
        </w:rPr>
      </w:pPr>
      <w:r w:rsidRPr="00AA4D53">
        <w:rPr>
          <w:highlight w:val="yellow"/>
          <w:lang w:val="es-CR"/>
        </w:rPr>
        <w:lastRenderedPageBreak/>
        <w:t>Pago de registro de participación de $</w:t>
      </w:r>
      <w:r w:rsidR="0010504F">
        <w:rPr>
          <w:highlight w:val="yellow"/>
          <w:lang w:val="es-CR"/>
        </w:rPr>
        <w:t>2.000.00</w:t>
      </w:r>
      <w:r w:rsidRPr="00AA4D53">
        <w:rPr>
          <w:highlight w:val="yellow"/>
          <w:lang w:val="es-CR"/>
        </w:rPr>
        <w:t xml:space="preserve"> (</w:t>
      </w:r>
      <w:r w:rsidR="0010504F">
        <w:rPr>
          <w:highlight w:val="yellow"/>
          <w:lang w:val="es-CR"/>
        </w:rPr>
        <w:t xml:space="preserve">dos mil </w:t>
      </w:r>
      <w:r w:rsidRPr="00AA4D53">
        <w:rPr>
          <w:highlight w:val="yellow"/>
          <w:lang w:val="es-CR"/>
        </w:rPr>
        <w:t>dólares)</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lastRenderedPageBreak/>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F1E6B66"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w:t>
      </w:r>
      <w:r w:rsidRPr="004759C6">
        <w:rPr>
          <w:lang w:val="es-CR"/>
        </w:rPr>
        <w:lastRenderedPageBreak/>
        <w:t xml:space="preserve">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w:t>
      </w:r>
      <w:proofErr w:type="spellStart"/>
      <w:r w:rsidR="00321F4F" w:rsidRPr="00C0081A">
        <w:rPr>
          <w:lang w:val="es-CR"/>
        </w:rPr>
        <w:t>covid</w:t>
      </w:r>
      <w:proofErr w:type="spellEnd"/>
      <w:r w:rsidR="00321F4F" w:rsidRPr="00C0081A">
        <w:rPr>
          <w:lang w:val="es-CR"/>
        </w:rPr>
        <w:t xml:space="preserve">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14:paraId="570FA7D3" w14:textId="77777777"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proofErr w:type="gramStart"/>
      <w:r w:rsidRPr="00303009">
        <w:lastRenderedPageBreak/>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s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lastRenderedPageBreak/>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22B8421F"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103CF3">
        <w:rPr>
          <w:lang w:val="es-CR"/>
        </w:rPr>
        <w:t>2</w:t>
      </w:r>
      <w:r w:rsidR="0010504F">
        <w:rPr>
          <w:lang w:val="es-CR"/>
        </w:rPr>
        <w:t>8</w:t>
      </w:r>
      <w:r w:rsidR="006709C4">
        <w:rPr>
          <w:lang w:val="es-CR"/>
        </w:rPr>
        <w:t xml:space="preserve"> </w:t>
      </w:r>
      <w:r w:rsidR="00AA4D53">
        <w:rPr>
          <w:lang w:val="es-CR"/>
        </w:rPr>
        <w:t xml:space="preserve">abril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w:t>
      </w:r>
      <w:bookmarkStart w:id="0" w:name="_GoBack"/>
      <w:bookmarkEnd w:id="0"/>
      <w:r w:rsidRPr="005F2E66">
        <w:rPr>
          <w:sz w:val="32"/>
          <w:szCs w:val="32"/>
          <w:lang w:val="es-DO"/>
        </w:rPr>
        <w:t>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0D73" w14:textId="77777777" w:rsidR="00165CAA" w:rsidRDefault="00165CAA" w:rsidP="00B52E19">
      <w:r>
        <w:separator/>
      </w:r>
    </w:p>
  </w:endnote>
  <w:endnote w:type="continuationSeparator" w:id="0">
    <w:p w14:paraId="067628A9" w14:textId="77777777" w:rsidR="00165CAA" w:rsidRDefault="00165CAA"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7DFDACB9" w:rsidR="00C7741B" w:rsidRPr="00321F4F" w:rsidRDefault="00C7741B">
    <w:pPr>
      <w:pStyle w:val="Piedepgina"/>
      <w:jc w:val="center"/>
      <w:rPr>
        <w:caps/>
        <w:lang w:val="es-CR"/>
      </w:rPr>
    </w:pPr>
    <w:r w:rsidRPr="00321F4F">
      <w:rPr>
        <w:caps/>
        <w:lang w:val="es-CR"/>
      </w:rPr>
      <w:t xml:space="preserve">REGULACIONES COMPETENCIA </w:t>
    </w:r>
    <w:r>
      <w:rPr>
        <w:caps/>
        <w:lang w:val="es-CR"/>
      </w:rPr>
      <w:t>i cca DE VB final four femenina hon 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B2CD2" w14:textId="77777777" w:rsidR="00165CAA" w:rsidRDefault="00165CAA" w:rsidP="00B52E19">
      <w:r>
        <w:separator/>
      </w:r>
    </w:p>
  </w:footnote>
  <w:footnote w:type="continuationSeparator" w:id="0">
    <w:p w14:paraId="0B30EC07" w14:textId="77777777" w:rsidR="00165CAA" w:rsidRDefault="00165CAA"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C7741B" w:rsidRDefault="00165CAA"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6B26FF5F" w:rsidR="00C7741B" w:rsidRDefault="00C7741B">
                              <w:pPr>
                                <w:pStyle w:val="Piedepgina"/>
                                <w:jc w:val="center"/>
                                <w:rPr>
                                  <w:color w:val="FFFFFF" w:themeColor="background1"/>
                                </w:rPr>
                              </w:pPr>
                              <w:r>
                                <w:fldChar w:fldCharType="begin"/>
                              </w:r>
                              <w:r>
                                <w:instrText>PAGE   \* MERGEFORMAT</w:instrText>
                              </w:r>
                              <w:r>
                                <w:fldChar w:fldCharType="separate"/>
                              </w:r>
                              <w:r w:rsidR="0010504F" w:rsidRPr="0010504F">
                                <w:rPr>
                                  <w:noProof/>
                                  <w:color w:val="FFFFFF" w:themeColor="background1"/>
                                  <w:lang w:val="es-ES"/>
                                </w:rPr>
                                <w:t>17</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6B26FF5F" w:rsidR="00C7741B" w:rsidRDefault="00C7741B">
                        <w:pPr>
                          <w:pStyle w:val="Piedepgina"/>
                          <w:jc w:val="center"/>
                          <w:rPr>
                            <w:color w:val="FFFFFF" w:themeColor="background1"/>
                          </w:rPr>
                        </w:pPr>
                        <w:r>
                          <w:fldChar w:fldCharType="begin"/>
                        </w:r>
                        <w:r>
                          <w:instrText>PAGE   \* MERGEFORMAT</w:instrText>
                        </w:r>
                        <w:r>
                          <w:fldChar w:fldCharType="separate"/>
                        </w:r>
                        <w:r w:rsidR="0010504F" w:rsidRPr="0010504F">
                          <w:rPr>
                            <w:noProof/>
                            <w:color w:val="FFFFFF" w:themeColor="background1"/>
                            <w:lang w:val="es-ES"/>
                          </w:rPr>
                          <w:t>17</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66006"/>
    <w:rsid w:val="00072C8E"/>
    <w:rsid w:val="0008500C"/>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7121"/>
    <w:rsid w:val="00135872"/>
    <w:rsid w:val="00165CAA"/>
    <w:rsid w:val="00166115"/>
    <w:rsid w:val="0017441F"/>
    <w:rsid w:val="00176DE2"/>
    <w:rsid w:val="001830FC"/>
    <w:rsid w:val="001A24B9"/>
    <w:rsid w:val="001A30AF"/>
    <w:rsid w:val="001B19BC"/>
    <w:rsid w:val="001B22FD"/>
    <w:rsid w:val="001B6550"/>
    <w:rsid w:val="001C20C0"/>
    <w:rsid w:val="001C4065"/>
    <w:rsid w:val="001F09EC"/>
    <w:rsid w:val="00200618"/>
    <w:rsid w:val="00200AC7"/>
    <w:rsid w:val="0020632D"/>
    <w:rsid w:val="00212EAA"/>
    <w:rsid w:val="00235B91"/>
    <w:rsid w:val="00244B7B"/>
    <w:rsid w:val="00252050"/>
    <w:rsid w:val="002705B0"/>
    <w:rsid w:val="002705CA"/>
    <w:rsid w:val="00277085"/>
    <w:rsid w:val="00283013"/>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35AA5"/>
    <w:rsid w:val="00341B3F"/>
    <w:rsid w:val="003447F4"/>
    <w:rsid w:val="00372262"/>
    <w:rsid w:val="003968E3"/>
    <w:rsid w:val="003B6BD6"/>
    <w:rsid w:val="003E11E7"/>
    <w:rsid w:val="003E14E2"/>
    <w:rsid w:val="003F02DF"/>
    <w:rsid w:val="00423F28"/>
    <w:rsid w:val="0046633B"/>
    <w:rsid w:val="004759C6"/>
    <w:rsid w:val="0048662B"/>
    <w:rsid w:val="004E75BA"/>
    <w:rsid w:val="004F1814"/>
    <w:rsid w:val="004F5AA8"/>
    <w:rsid w:val="00534869"/>
    <w:rsid w:val="0054176C"/>
    <w:rsid w:val="005442D1"/>
    <w:rsid w:val="0054441E"/>
    <w:rsid w:val="00545195"/>
    <w:rsid w:val="0055438C"/>
    <w:rsid w:val="005618BB"/>
    <w:rsid w:val="005635ED"/>
    <w:rsid w:val="005640D2"/>
    <w:rsid w:val="00573170"/>
    <w:rsid w:val="005B50CD"/>
    <w:rsid w:val="005B7341"/>
    <w:rsid w:val="005C105F"/>
    <w:rsid w:val="005F2E66"/>
    <w:rsid w:val="00602CCC"/>
    <w:rsid w:val="0060457E"/>
    <w:rsid w:val="00605A89"/>
    <w:rsid w:val="00622318"/>
    <w:rsid w:val="00626CFB"/>
    <w:rsid w:val="006279F9"/>
    <w:rsid w:val="00633B36"/>
    <w:rsid w:val="00634937"/>
    <w:rsid w:val="006603AF"/>
    <w:rsid w:val="006709C4"/>
    <w:rsid w:val="00672366"/>
    <w:rsid w:val="0068747A"/>
    <w:rsid w:val="006B374C"/>
    <w:rsid w:val="006E3326"/>
    <w:rsid w:val="006F66D1"/>
    <w:rsid w:val="00706DF2"/>
    <w:rsid w:val="007213F5"/>
    <w:rsid w:val="0072487D"/>
    <w:rsid w:val="007317D5"/>
    <w:rsid w:val="00734D46"/>
    <w:rsid w:val="00746B5B"/>
    <w:rsid w:val="00771FB1"/>
    <w:rsid w:val="0079247D"/>
    <w:rsid w:val="00792D55"/>
    <w:rsid w:val="007A4155"/>
    <w:rsid w:val="007B12F6"/>
    <w:rsid w:val="007C49C7"/>
    <w:rsid w:val="007C666D"/>
    <w:rsid w:val="007E6119"/>
    <w:rsid w:val="008156BA"/>
    <w:rsid w:val="008623E6"/>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7286A"/>
    <w:rsid w:val="00973D52"/>
    <w:rsid w:val="009A2FF5"/>
    <w:rsid w:val="009C7603"/>
    <w:rsid w:val="009D64B9"/>
    <w:rsid w:val="009D7136"/>
    <w:rsid w:val="009E629B"/>
    <w:rsid w:val="009F1703"/>
    <w:rsid w:val="009F3A1A"/>
    <w:rsid w:val="00A01D8A"/>
    <w:rsid w:val="00A141B0"/>
    <w:rsid w:val="00A36C70"/>
    <w:rsid w:val="00A448EF"/>
    <w:rsid w:val="00A67F38"/>
    <w:rsid w:val="00A911C7"/>
    <w:rsid w:val="00A9150B"/>
    <w:rsid w:val="00A951F5"/>
    <w:rsid w:val="00AA4D53"/>
    <w:rsid w:val="00AB57CB"/>
    <w:rsid w:val="00AB74C9"/>
    <w:rsid w:val="00AF6E4D"/>
    <w:rsid w:val="00B0009D"/>
    <w:rsid w:val="00B16216"/>
    <w:rsid w:val="00B1779B"/>
    <w:rsid w:val="00B21DFE"/>
    <w:rsid w:val="00B2798C"/>
    <w:rsid w:val="00B52B1A"/>
    <w:rsid w:val="00B52E19"/>
    <w:rsid w:val="00B62BFA"/>
    <w:rsid w:val="00B82609"/>
    <w:rsid w:val="00B90DE0"/>
    <w:rsid w:val="00BC4277"/>
    <w:rsid w:val="00BD6E4B"/>
    <w:rsid w:val="00BE654A"/>
    <w:rsid w:val="00BF5495"/>
    <w:rsid w:val="00BF62C2"/>
    <w:rsid w:val="00C0081A"/>
    <w:rsid w:val="00C225C4"/>
    <w:rsid w:val="00C30454"/>
    <w:rsid w:val="00C523D2"/>
    <w:rsid w:val="00C61143"/>
    <w:rsid w:val="00C7741B"/>
    <w:rsid w:val="00C81EA6"/>
    <w:rsid w:val="00CB1894"/>
    <w:rsid w:val="00CB2626"/>
    <w:rsid w:val="00CC6E4A"/>
    <w:rsid w:val="00CF2D59"/>
    <w:rsid w:val="00D056F2"/>
    <w:rsid w:val="00D072D9"/>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0C94"/>
    <w:rsid w:val="00E27AFE"/>
    <w:rsid w:val="00E35259"/>
    <w:rsid w:val="00E45000"/>
    <w:rsid w:val="00E63BAF"/>
    <w:rsid w:val="00E66375"/>
    <w:rsid w:val="00E74344"/>
    <w:rsid w:val="00E758D4"/>
    <w:rsid w:val="00E768D7"/>
    <w:rsid w:val="00EC0B9C"/>
    <w:rsid w:val="00ED23FF"/>
    <w:rsid w:val="00ED6239"/>
    <w:rsid w:val="00EE410E"/>
    <w:rsid w:val="00EF48E6"/>
    <w:rsid w:val="00EF60EB"/>
    <w:rsid w:val="00F15D72"/>
    <w:rsid w:val="00F702F9"/>
    <w:rsid w:val="00F95794"/>
    <w:rsid w:val="00FA30B3"/>
    <w:rsid w:val="00FB0494"/>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avoli@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lixsabio@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4873</Words>
  <Characters>27782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cp:revision>
  <cp:lastPrinted>2022-01-12T22:47:00Z</cp:lastPrinted>
  <dcterms:created xsi:type="dcterms:W3CDTF">2024-04-28T23:01:00Z</dcterms:created>
  <dcterms:modified xsi:type="dcterms:W3CDTF">2024-04-28T23:01:00Z</dcterms:modified>
</cp:coreProperties>
</file>